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5D2" w:rsidRDefault="00D455D2" w:rsidP="00D455D2">
      <w:pPr>
        <w:pStyle w:val="Heading2"/>
      </w:pPr>
      <w:bookmarkStart w:id="0" w:name="_Toc409434557"/>
      <w:r>
        <w:t>Student Support</w:t>
      </w:r>
      <w:bookmarkEnd w:id="0"/>
    </w:p>
    <w:p w:rsidR="00D455D2" w:rsidRPr="00D455D2" w:rsidRDefault="00D455D2" w:rsidP="00D455D2">
      <w:r w:rsidRPr="00D455D2">
        <w:t>United Transport Solutions provides the following support for students. Details of how to access the support are provided in the table below.</w:t>
      </w:r>
    </w:p>
    <w:p w:rsidR="00D455D2" w:rsidRDefault="00D455D2" w:rsidP="00D455D2"/>
    <w:tbl>
      <w:tblPr>
        <w:tblStyle w:val="TableGrid"/>
        <w:tblW w:w="0" w:type="auto"/>
        <w:tblLook w:val="04A0" w:firstRow="1" w:lastRow="0" w:firstColumn="1" w:lastColumn="0" w:noHBand="0" w:noVBand="1"/>
      </w:tblPr>
      <w:tblGrid>
        <w:gridCol w:w="2235"/>
        <w:gridCol w:w="6945"/>
      </w:tblGrid>
      <w:tr w:rsidR="00BF38A2" w:rsidTr="00BF38A2">
        <w:trPr>
          <w:trHeight w:val="397"/>
        </w:trPr>
        <w:tc>
          <w:tcPr>
            <w:tcW w:w="2235" w:type="dxa"/>
            <w:tcBorders>
              <w:bottom w:val="single" w:sz="4" w:space="0" w:color="auto"/>
            </w:tcBorders>
            <w:shd w:val="clear" w:color="auto" w:fill="D6E3BC" w:themeFill="accent3" w:themeFillTint="66"/>
            <w:vAlign w:val="center"/>
          </w:tcPr>
          <w:p w:rsidR="00BF38A2" w:rsidRPr="0090305B" w:rsidRDefault="00BF38A2" w:rsidP="00D705A2">
            <w:pPr>
              <w:jc w:val="center"/>
              <w:rPr>
                <w:b/>
              </w:rPr>
            </w:pPr>
            <w:r w:rsidRPr="0090305B">
              <w:rPr>
                <w:b/>
              </w:rPr>
              <w:t>Support Service</w:t>
            </w:r>
          </w:p>
        </w:tc>
        <w:tc>
          <w:tcPr>
            <w:tcW w:w="6945" w:type="dxa"/>
            <w:shd w:val="clear" w:color="auto" w:fill="D6E3BC" w:themeFill="accent3" w:themeFillTint="66"/>
            <w:vAlign w:val="center"/>
          </w:tcPr>
          <w:p w:rsidR="00BF38A2" w:rsidRPr="0090305B" w:rsidRDefault="00BF38A2" w:rsidP="00D705A2">
            <w:pPr>
              <w:jc w:val="center"/>
              <w:rPr>
                <w:b/>
              </w:rPr>
            </w:pPr>
            <w:r>
              <w:rPr>
                <w:b/>
              </w:rPr>
              <w:t xml:space="preserve">What we offer </w:t>
            </w:r>
          </w:p>
        </w:tc>
      </w:tr>
      <w:tr w:rsidR="00BF38A2" w:rsidTr="00BF38A2">
        <w:tc>
          <w:tcPr>
            <w:tcW w:w="2235" w:type="dxa"/>
            <w:tcBorders>
              <w:bottom w:val="nil"/>
            </w:tcBorders>
          </w:tcPr>
          <w:p w:rsidR="00BF38A2" w:rsidRPr="00BF38A2" w:rsidRDefault="00BF38A2" w:rsidP="00BF38A2">
            <w:pPr>
              <w:spacing w:before="120" w:after="120"/>
              <w:jc w:val="left"/>
              <w:rPr>
                <w:b/>
                <w:sz w:val="22"/>
                <w:szCs w:val="22"/>
              </w:rPr>
            </w:pPr>
            <w:r w:rsidRPr="00BF38A2">
              <w:rPr>
                <w:b/>
                <w:sz w:val="22"/>
                <w:szCs w:val="22"/>
              </w:rPr>
              <w:t>Language, Literacy and Numeracy</w:t>
            </w:r>
            <w:r w:rsidRPr="00BF38A2">
              <w:rPr>
                <w:b/>
                <w:sz w:val="22"/>
                <w:szCs w:val="22"/>
              </w:rPr>
              <w:br/>
            </w:r>
          </w:p>
        </w:tc>
        <w:tc>
          <w:tcPr>
            <w:tcW w:w="6945" w:type="dxa"/>
            <w:vMerge w:val="restart"/>
          </w:tcPr>
          <w:p w:rsidR="00BF38A2" w:rsidRPr="00BF38A2" w:rsidRDefault="00BF38A2" w:rsidP="00BF38A2">
            <w:pPr>
              <w:spacing w:before="120" w:after="120"/>
              <w:rPr>
                <w:sz w:val="22"/>
                <w:szCs w:val="22"/>
              </w:rPr>
            </w:pPr>
            <w:r w:rsidRPr="00BF38A2">
              <w:rPr>
                <w:sz w:val="22"/>
                <w:szCs w:val="22"/>
              </w:rPr>
              <w:t>We offer literacy and numeracy support in response to the needs of each student. Trainers and assessors will confirm the Language, Literacy &amp; Numeracy (LLN) skills of each learner, and make adjustments to delivery and assessments accordingly. If you require support with reading or writing please let us know on enrolment or inform your trainer or assessor</w:t>
            </w:r>
            <w:r>
              <w:rPr>
                <w:sz w:val="22"/>
                <w:szCs w:val="22"/>
              </w:rPr>
              <w:t>.</w:t>
            </w:r>
          </w:p>
        </w:tc>
      </w:tr>
      <w:tr w:rsidR="00BF38A2" w:rsidTr="00BF38A2">
        <w:tc>
          <w:tcPr>
            <w:tcW w:w="2235" w:type="dxa"/>
            <w:tcBorders>
              <w:top w:val="nil"/>
            </w:tcBorders>
          </w:tcPr>
          <w:p w:rsidR="00BF38A2" w:rsidRPr="00BF38A2" w:rsidRDefault="00BF38A2" w:rsidP="00BF38A2">
            <w:pPr>
              <w:spacing w:before="120" w:after="120"/>
              <w:jc w:val="left"/>
              <w:rPr>
                <w:b/>
                <w:sz w:val="22"/>
                <w:szCs w:val="22"/>
              </w:rPr>
            </w:pPr>
          </w:p>
        </w:tc>
        <w:tc>
          <w:tcPr>
            <w:tcW w:w="6945" w:type="dxa"/>
            <w:vMerge/>
          </w:tcPr>
          <w:p w:rsidR="00BF38A2" w:rsidRPr="00BF38A2" w:rsidRDefault="00BF38A2" w:rsidP="00BF38A2">
            <w:pPr>
              <w:spacing w:before="120" w:after="120"/>
              <w:rPr>
                <w:sz w:val="22"/>
                <w:szCs w:val="22"/>
              </w:rPr>
            </w:pPr>
          </w:p>
        </w:tc>
      </w:tr>
      <w:tr w:rsidR="00BF38A2" w:rsidTr="00BF38A2">
        <w:tc>
          <w:tcPr>
            <w:tcW w:w="2235" w:type="dxa"/>
          </w:tcPr>
          <w:p w:rsidR="00BF38A2" w:rsidRPr="00BF38A2" w:rsidRDefault="00BF38A2" w:rsidP="00BF38A2">
            <w:pPr>
              <w:autoSpaceDE w:val="0"/>
              <w:autoSpaceDN w:val="0"/>
              <w:adjustRightInd w:val="0"/>
              <w:spacing w:before="120" w:after="120"/>
              <w:jc w:val="left"/>
              <w:rPr>
                <w:rFonts w:eastAsiaTheme="minorHAnsi" w:cs="DejaVuSans"/>
                <w:b/>
                <w:sz w:val="22"/>
                <w:szCs w:val="22"/>
              </w:rPr>
            </w:pPr>
            <w:r w:rsidRPr="00BF38A2">
              <w:rPr>
                <w:rFonts w:eastAsiaTheme="minorHAnsi" w:cs="DejaVuSans"/>
                <w:b/>
                <w:sz w:val="22"/>
                <w:szCs w:val="22"/>
              </w:rPr>
              <w:t>ICT and computer foundation skills</w:t>
            </w:r>
          </w:p>
          <w:p w:rsidR="00BF38A2" w:rsidRPr="00BF38A2" w:rsidRDefault="00BF38A2" w:rsidP="00BF38A2">
            <w:pPr>
              <w:spacing w:before="120" w:after="120"/>
              <w:jc w:val="left"/>
              <w:rPr>
                <w:b/>
                <w:sz w:val="22"/>
                <w:szCs w:val="22"/>
              </w:rPr>
            </w:pPr>
          </w:p>
        </w:tc>
        <w:tc>
          <w:tcPr>
            <w:tcW w:w="6945" w:type="dxa"/>
          </w:tcPr>
          <w:p w:rsidR="00BF38A2" w:rsidRPr="00BF38A2" w:rsidRDefault="00BF38A2" w:rsidP="00BF38A2">
            <w:pPr>
              <w:spacing w:before="120" w:after="120"/>
              <w:rPr>
                <w:sz w:val="22"/>
                <w:szCs w:val="22"/>
              </w:rPr>
            </w:pPr>
            <w:r w:rsidRPr="00BF38A2">
              <w:rPr>
                <w:sz w:val="22"/>
                <w:szCs w:val="22"/>
              </w:rPr>
              <w:t>If you are having difficulties using a computer or accessing a computer to meet your course needs let you trainer and assessor know  and they will arrange for you to use a computer and/or have suitable support</w:t>
            </w:r>
          </w:p>
        </w:tc>
      </w:tr>
      <w:tr w:rsidR="00BF38A2" w:rsidTr="00BF38A2">
        <w:tc>
          <w:tcPr>
            <w:tcW w:w="2235" w:type="dxa"/>
          </w:tcPr>
          <w:p w:rsidR="00BF38A2" w:rsidRPr="00BF38A2" w:rsidRDefault="00BF38A2" w:rsidP="00BF38A2">
            <w:pPr>
              <w:spacing w:before="120" w:after="120"/>
              <w:jc w:val="left"/>
              <w:rPr>
                <w:b/>
                <w:bCs/>
                <w:sz w:val="22"/>
                <w:szCs w:val="22"/>
              </w:rPr>
            </w:pPr>
            <w:r w:rsidRPr="00BF38A2">
              <w:rPr>
                <w:b/>
                <w:bCs/>
                <w:sz w:val="22"/>
                <w:szCs w:val="22"/>
              </w:rPr>
              <w:t>Student Services</w:t>
            </w:r>
          </w:p>
          <w:p w:rsidR="00BF38A2" w:rsidRPr="00BF38A2" w:rsidRDefault="00BF38A2" w:rsidP="00BF38A2">
            <w:pPr>
              <w:spacing w:before="120" w:after="120"/>
              <w:jc w:val="left"/>
              <w:rPr>
                <w:b/>
                <w:sz w:val="22"/>
                <w:szCs w:val="22"/>
              </w:rPr>
            </w:pPr>
          </w:p>
        </w:tc>
        <w:tc>
          <w:tcPr>
            <w:tcW w:w="6945" w:type="dxa"/>
          </w:tcPr>
          <w:p w:rsidR="00BF38A2" w:rsidRPr="00BF38A2" w:rsidRDefault="00BF38A2" w:rsidP="00BF38A2">
            <w:pPr>
              <w:spacing w:before="120" w:after="120"/>
              <w:rPr>
                <w:sz w:val="22"/>
                <w:szCs w:val="22"/>
              </w:rPr>
            </w:pPr>
            <w:r w:rsidRPr="00BF38A2">
              <w:rPr>
                <w:sz w:val="22"/>
                <w:szCs w:val="22"/>
              </w:rPr>
              <w:t>Student services can assist with processing enrolments, providing course information, and providing general information on training and assessment, our services and facilities.</w:t>
            </w:r>
          </w:p>
        </w:tc>
      </w:tr>
      <w:tr w:rsidR="00BF38A2" w:rsidTr="00BF38A2">
        <w:tc>
          <w:tcPr>
            <w:tcW w:w="2235" w:type="dxa"/>
          </w:tcPr>
          <w:p w:rsidR="00BF38A2" w:rsidRPr="00BF38A2" w:rsidRDefault="00BF38A2" w:rsidP="00BF38A2">
            <w:pPr>
              <w:spacing w:before="120" w:after="120"/>
              <w:jc w:val="left"/>
              <w:rPr>
                <w:b/>
                <w:bCs/>
                <w:sz w:val="22"/>
                <w:szCs w:val="22"/>
              </w:rPr>
            </w:pPr>
            <w:r w:rsidRPr="00BF38A2">
              <w:rPr>
                <w:b/>
                <w:bCs/>
                <w:sz w:val="22"/>
                <w:szCs w:val="22"/>
              </w:rPr>
              <w:t xml:space="preserve">Assistance for Aboriginal and Torres Strait Islanders </w:t>
            </w:r>
          </w:p>
          <w:p w:rsidR="00BF38A2" w:rsidRPr="00BF38A2" w:rsidRDefault="00BF38A2" w:rsidP="00BF38A2">
            <w:pPr>
              <w:spacing w:before="120" w:after="120"/>
              <w:jc w:val="left"/>
              <w:rPr>
                <w:b/>
                <w:sz w:val="22"/>
                <w:szCs w:val="22"/>
              </w:rPr>
            </w:pPr>
          </w:p>
        </w:tc>
        <w:tc>
          <w:tcPr>
            <w:tcW w:w="6945" w:type="dxa"/>
          </w:tcPr>
          <w:p w:rsidR="00BF38A2" w:rsidRPr="00BF38A2" w:rsidRDefault="00BF38A2" w:rsidP="00BF38A2">
            <w:pPr>
              <w:spacing w:before="120" w:after="120"/>
              <w:rPr>
                <w:sz w:val="22"/>
                <w:szCs w:val="22"/>
              </w:rPr>
            </w:pPr>
            <w:r w:rsidRPr="00BF38A2">
              <w:rPr>
                <w:sz w:val="22"/>
                <w:szCs w:val="22"/>
              </w:rPr>
              <w:t>United Transport Solutions can assist with information regarding all aspects of your training including course structure, enrolments, facilities, assessment requirements, attendance requirements, pathway and job opportunities and referrals to external support agencies.</w:t>
            </w:r>
          </w:p>
        </w:tc>
      </w:tr>
      <w:tr w:rsidR="00BF38A2" w:rsidTr="00BF38A2">
        <w:tc>
          <w:tcPr>
            <w:tcW w:w="2235" w:type="dxa"/>
          </w:tcPr>
          <w:p w:rsidR="00BF38A2" w:rsidRPr="00BF38A2" w:rsidRDefault="00BF38A2" w:rsidP="00BF38A2">
            <w:pPr>
              <w:spacing w:before="120" w:after="120"/>
              <w:jc w:val="left"/>
              <w:rPr>
                <w:b/>
                <w:sz w:val="22"/>
                <w:szCs w:val="22"/>
              </w:rPr>
            </w:pPr>
            <w:r w:rsidRPr="00BF38A2">
              <w:rPr>
                <w:b/>
                <w:sz w:val="22"/>
                <w:szCs w:val="22"/>
              </w:rPr>
              <w:t>Career Advice</w:t>
            </w:r>
          </w:p>
        </w:tc>
        <w:tc>
          <w:tcPr>
            <w:tcW w:w="6945" w:type="dxa"/>
          </w:tcPr>
          <w:p w:rsidR="00BF38A2" w:rsidRPr="00BF38A2" w:rsidRDefault="00BF38A2" w:rsidP="00BF38A2">
            <w:pPr>
              <w:spacing w:before="120" w:after="120"/>
              <w:rPr>
                <w:sz w:val="22"/>
                <w:szCs w:val="22"/>
              </w:rPr>
            </w:pPr>
            <w:r w:rsidRPr="00BF38A2">
              <w:rPr>
                <w:sz w:val="22"/>
                <w:szCs w:val="22"/>
              </w:rPr>
              <w:t>United Transport Solutions can assist you to know what jobs you can apply or what further study you can enter  for after completing your training</w:t>
            </w:r>
          </w:p>
        </w:tc>
      </w:tr>
    </w:tbl>
    <w:p w:rsidR="00BF38A2" w:rsidRDefault="00BF38A2" w:rsidP="00BF38A2"/>
    <w:p w:rsidR="00BF38A2" w:rsidRPr="003443DC" w:rsidRDefault="003443DC" w:rsidP="00BF38A2">
      <w:pPr>
        <w:rPr>
          <w:u w:val="single"/>
        </w:rPr>
      </w:pPr>
      <w:r w:rsidRPr="003443DC">
        <w:rPr>
          <w:u w:val="single"/>
        </w:rPr>
        <w:t>For further</w:t>
      </w:r>
      <w:r w:rsidR="00BF38A2" w:rsidRPr="003443DC">
        <w:rPr>
          <w:u w:val="single"/>
        </w:rPr>
        <w:t xml:space="preserve"> </w:t>
      </w:r>
      <w:r w:rsidRPr="003443DC">
        <w:rPr>
          <w:u w:val="single"/>
        </w:rPr>
        <w:t>information</w:t>
      </w:r>
      <w:r w:rsidR="00BF38A2" w:rsidRPr="003443DC">
        <w:rPr>
          <w:u w:val="single"/>
        </w:rPr>
        <w:t xml:space="preserve"> contact:</w:t>
      </w:r>
      <w:r w:rsidRPr="003443DC">
        <w:rPr>
          <w:u w:val="single"/>
        </w:rPr>
        <w:t xml:space="preserve"> Carlo Lauricella</w:t>
      </w:r>
    </w:p>
    <w:p w:rsidR="003443DC" w:rsidRDefault="003443DC" w:rsidP="00BF38A2">
      <w:pPr>
        <w:rPr>
          <w:rFonts w:eastAsia="Times New Roman"/>
        </w:rPr>
      </w:pPr>
      <w:r>
        <w:rPr>
          <w:rFonts w:eastAsia="Times New Roman"/>
        </w:rPr>
        <w:t xml:space="preserve">Phone: </w:t>
      </w:r>
      <w:r w:rsidR="00BF38A2" w:rsidRPr="00CC56F1">
        <w:rPr>
          <w:rFonts w:eastAsia="Times New Roman"/>
        </w:rPr>
        <w:t xml:space="preserve">0412411404 </w:t>
      </w:r>
    </w:p>
    <w:p w:rsidR="00BF38A2" w:rsidRDefault="003443DC" w:rsidP="00BF38A2">
      <w:r>
        <w:rPr>
          <w:rFonts w:eastAsia="Times New Roman"/>
        </w:rPr>
        <w:t xml:space="preserve">Email: </w:t>
      </w:r>
      <w:r w:rsidR="00BF38A2" w:rsidRPr="00CC56F1">
        <w:rPr>
          <w:rFonts w:eastAsia="Times New Roman"/>
        </w:rPr>
        <w:t>carlo.lauricella@unitedtransport.net.au</w:t>
      </w:r>
    </w:p>
    <w:sectPr w:rsidR="00BF38A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D51" w:rsidRDefault="00A41D51" w:rsidP="00AB6DC8">
      <w:pPr>
        <w:spacing w:after="0" w:line="240" w:lineRule="auto"/>
      </w:pPr>
      <w:r>
        <w:separator/>
      </w:r>
    </w:p>
  </w:endnote>
  <w:endnote w:type="continuationSeparator" w:id="0">
    <w:p w:rsidR="00A41D51" w:rsidRDefault="00A41D51" w:rsidP="00AB6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San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DC8" w:rsidRDefault="00AB6D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DC8" w:rsidRDefault="00AB6DC8">
    <w:pPr>
      <w:pStyle w:val="Footer"/>
      <w:rPr>
        <w:color w:val="808080" w:themeColor="background1" w:themeShade="80"/>
        <w:sz w:val="18"/>
      </w:rPr>
    </w:pPr>
    <w:r w:rsidRPr="00AB6DC8">
      <w:rPr>
        <w:color w:val="808080" w:themeColor="background1" w:themeShade="80"/>
        <w:sz w:val="18"/>
      </w:rPr>
      <w:t>Student Information Student Support</w:t>
    </w:r>
    <w:r w:rsidR="00331416">
      <w:rPr>
        <w:color w:val="808080" w:themeColor="background1" w:themeShade="80"/>
        <w:sz w:val="18"/>
      </w:rPr>
      <w:t xml:space="preserve"> 2016</w:t>
    </w:r>
    <w:bookmarkStart w:id="1" w:name="_GoBack"/>
    <w:bookmarkEnd w:id="1"/>
    <w:r w:rsidRPr="00AB6DC8">
      <w:rPr>
        <w:color w:val="808080" w:themeColor="background1" w:themeShade="80"/>
        <w:sz w:val="18"/>
      </w:rPr>
      <w:t xml:space="preserve"> V1 </w:t>
    </w:r>
  </w:p>
  <w:p w:rsidR="00331416" w:rsidRPr="00AB6DC8" w:rsidRDefault="00331416" w:rsidP="00331416">
    <w:pPr>
      <w:pStyle w:val="Footer"/>
      <w:jc w:val="center"/>
      <w:rPr>
        <w:color w:val="808080" w:themeColor="background1" w:themeShade="80"/>
        <w:sz w:val="18"/>
      </w:rPr>
    </w:pPr>
    <w:r>
      <w:rPr>
        <w:i/>
      </w:rPr>
      <w:t>This training is subsidised by the NSW Government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DC8" w:rsidRDefault="00AB6D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D51" w:rsidRDefault="00A41D51" w:rsidP="00AB6DC8">
      <w:pPr>
        <w:spacing w:after="0" w:line="240" w:lineRule="auto"/>
      </w:pPr>
      <w:r>
        <w:separator/>
      </w:r>
    </w:p>
  </w:footnote>
  <w:footnote w:type="continuationSeparator" w:id="0">
    <w:p w:rsidR="00A41D51" w:rsidRDefault="00A41D51" w:rsidP="00AB6D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DC8" w:rsidRDefault="00AB6D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DC8" w:rsidRDefault="00E93777" w:rsidP="00E93777">
    <w:pPr>
      <w:pStyle w:val="Header"/>
      <w:jc w:val="center"/>
    </w:pPr>
    <w:r>
      <w:rPr>
        <w:noProof/>
        <w:lang w:eastAsia="en-AU"/>
      </w:rPr>
      <w:drawing>
        <wp:inline distT="0" distB="0" distL="0" distR="0" wp14:anchorId="70DD8134" wp14:editId="7CB28C37">
          <wp:extent cx="3320920" cy="717614"/>
          <wp:effectExtent l="0" t="0" r="0" b="6350"/>
          <wp:docPr id="1" name="Picture 1" descr="C:\Users\Anne\Documents\Dropbox\United Transport\logo-uts-final-artwork-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e\Documents\Dropbox\United Transport\logo-uts-final-artwork-whi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1392" cy="717716"/>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DC8" w:rsidRDefault="00AB6D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5D2"/>
    <w:rsid w:val="002E2A69"/>
    <w:rsid w:val="002E4347"/>
    <w:rsid w:val="00331416"/>
    <w:rsid w:val="003443DC"/>
    <w:rsid w:val="0046569A"/>
    <w:rsid w:val="009911CD"/>
    <w:rsid w:val="00A41D51"/>
    <w:rsid w:val="00AB6DC8"/>
    <w:rsid w:val="00AF2760"/>
    <w:rsid w:val="00BF38A2"/>
    <w:rsid w:val="00CC2829"/>
    <w:rsid w:val="00D455D2"/>
    <w:rsid w:val="00E937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5D2"/>
    <w:pPr>
      <w:jc w:val="both"/>
    </w:pPr>
    <w:rPr>
      <w:rFonts w:eastAsiaTheme="minorEastAsia"/>
      <w:szCs w:val="20"/>
    </w:rPr>
  </w:style>
  <w:style w:type="paragraph" w:styleId="Heading2">
    <w:name w:val="heading 2"/>
    <w:basedOn w:val="Normal"/>
    <w:next w:val="Normal"/>
    <w:link w:val="Heading2Char"/>
    <w:uiPriority w:val="9"/>
    <w:unhideWhenUsed/>
    <w:qFormat/>
    <w:rsid w:val="00D455D2"/>
    <w:pPr>
      <w:spacing w:before="240" w:after="80"/>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55D2"/>
    <w:rPr>
      <w:rFonts w:eastAsiaTheme="minorEastAsia"/>
      <w:smallCaps/>
      <w:spacing w:val="5"/>
      <w:sz w:val="28"/>
      <w:szCs w:val="28"/>
    </w:rPr>
  </w:style>
  <w:style w:type="table" w:styleId="TableGrid">
    <w:name w:val="Table Grid"/>
    <w:basedOn w:val="TableNormal"/>
    <w:uiPriority w:val="59"/>
    <w:rsid w:val="00D455D2"/>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6D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DC8"/>
    <w:rPr>
      <w:rFonts w:eastAsiaTheme="minorEastAsia"/>
      <w:szCs w:val="20"/>
    </w:rPr>
  </w:style>
  <w:style w:type="paragraph" w:styleId="Footer">
    <w:name w:val="footer"/>
    <w:basedOn w:val="Normal"/>
    <w:link w:val="FooterChar"/>
    <w:uiPriority w:val="99"/>
    <w:unhideWhenUsed/>
    <w:rsid w:val="00AB6D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DC8"/>
    <w:rPr>
      <w:rFonts w:eastAsiaTheme="minorEastAsia"/>
      <w:szCs w:val="20"/>
    </w:rPr>
  </w:style>
  <w:style w:type="paragraph" w:styleId="BalloonText">
    <w:name w:val="Balloon Text"/>
    <w:basedOn w:val="Normal"/>
    <w:link w:val="BalloonTextChar"/>
    <w:uiPriority w:val="99"/>
    <w:semiHidden/>
    <w:unhideWhenUsed/>
    <w:rsid w:val="00E937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777"/>
    <w:rPr>
      <w:rFonts w:ascii="Tahoma" w:eastAsiaTheme="minorEastAsia" w:hAnsi="Tahoma" w:cs="Tahoma"/>
      <w:sz w:val="16"/>
      <w:szCs w:val="16"/>
    </w:rPr>
  </w:style>
  <w:style w:type="paragraph" w:customStyle="1" w:styleId="Default">
    <w:name w:val="Default"/>
    <w:basedOn w:val="Normal"/>
    <w:rsid w:val="00BF38A2"/>
    <w:pPr>
      <w:autoSpaceDE w:val="0"/>
      <w:autoSpaceDN w:val="0"/>
      <w:spacing w:after="0" w:line="240" w:lineRule="auto"/>
      <w:jc w:val="left"/>
    </w:pPr>
    <w:rPr>
      <w:rFonts w:ascii="Calibri" w:eastAsiaTheme="minorHAnsi" w:hAnsi="Calibri"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5D2"/>
    <w:pPr>
      <w:jc w:val="both"/>
    </w:pPr>
    <w:rPr>
      <w:rFonts w:eastAsiaTheme="minorEastAsia"/>
      <w:szCs w:val="20"/>
    </w:rPr>
  </w:style>
  <w:style w:type="paragraph" w:styleId="Heading2">
    <w:name w:val="heading 2"/>
    <w:basedOn w:val="Normal"/>
    <w:next w:val="Normal"/>
    <w:link w:val="Heading2Char"/>
    <w:uiPriority w:val="9"/>
    <w:unhideWhenUsed/>
    <w:qFormat/>
    <w:rsid w:val="00D455D2"/>
    <w:pPr>
      <w:spacing w:before="240" w:after="80"/>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55D2"/>
    <w:rPr>
      <w:rFonts w:eastAsiaTheme="minorEastAsia"/>
      <w:smallCaps/>
      <w:spacing w:val="5"/>
      <w:sz w:val="28"/>
      <w:szCs w:val="28"/>
    </w:rPr>
  </w:style>
  <w:style w:type="table" w:styleId="TableGrid">
    <w:name w:val="Table Grid"/>
    <w:basedOn w:val="TableNormal"/>
    <w:uiPriority w:val="59"/>
    <w:rsid w:val="00D455D2"/>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6D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DC8"/>
    <w:rPr>
      <w:rFonts w:eastAsiaTheme="minorEastAsia"/>
      <w:szCs w:val="20"/>
    </w:rPr>
  </w:style>
  <w:style w:type="paragraph" w:styleId="Footer">
    <w:name w:val="footer"/>
    <w:basedOn w:val="Normal"/>
    <w:link w:val="FooterChar"/>
    <w:uiPriority w:val="99"/>
    <w:unhideWhenUsed/>
    <w:rsid w:val="00AB6D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DC8"/>
    <w:rPr>
      <w:rFonts w:eastAsiaTheme="minorEastAsia"/>
      <w:szCs w:val="20"/>
    </w:rPr>
  </w:style>
  <w:style w:type="paragraph" w:styleId="BalloonText">
    <w:name w:val="Balloon Text"/>
    <w:basedOn w:val="Normal"/>
    <w:link w:val="BalloonTextChar"/>
    <w:uiPriority w:val="99"/>
    <w:semiHidden/>
    <w:unhideWhenUsed/>
    <w:rsid w:val="00E937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777"/>
    <w:rPr>
      <w:rFonts w:ascii="Tahoma" w:eastAsiaTheme="minorEastAsia" w:hAnsi="Tahoma" w:cs="Tahoma"/>
      <w:sz w:val="16"/>
      <w:szCs w:val="16"/>
    </w:rPr>
  </w:style>
  <w:style w:type="paragraph" w:customStyle="1" w:styleId="Default">
    <w:name w:val="Default"/>
    <w:basedOn w:val="Normal"/>
    <w:rsid w:val="00BF38A2"/>
    <w:pPr>
      <w:autoSpaceDE w:val="0"/>
      <w:autoSpaceDN w:val="0"/>
      <w:spacing w:after="0" w:line="240" w:lineRule="auto"/>
      <w:jc w:val="left"/>
    </w:pPr>
    <w:rPr>
      <w:rFonts w:ascii="Calibri" w:eastAsiaTheme="minorHAnsi" w:hAnsi="Calibri"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76848">
      <w:bodyDiv w:val="1"/>
      <w:marLeft w:val="0"/>
      <w:marRight w:val="0"/>
      <w:marTop w:val="0"/>
      <w:marBottom w:val="0"/>
      <w:divBdr>
        <w:top w:val="none" w:sz="0" w:space="0" w:color="auto"/>
        <w:left w:val="none" w:sz="0" w:space="0" w:color="auto"/>
        <w:bottom w:val="none" w:sz="0" w:space="0" w:color="auto"/>
        <w:right w:val="none" w:sz="0" w:space="0" w:color="auto"/>
      </w:divBdr>
    </w:div>
    <w:div w:id="775373484">
      <w:bodyDiv w:val="1"/>
      <w:marLeft w:val="0"/>
      <w:marRight w:val="0"/>
      <w:marTop w:val="0"/>
      <w:marBottom w:val="0"/>
      <w:divBdr>
        <w:top w:val="none" w:sz="0" w:space="0" w:color="auto"/>
        <w:left w:val="none" w:sz="0" w:space="0" w:color="auto"/>
        <w:bottom w:val="none" w:sz="0" w:space="0" w:color="auto"/>
        <w:right w:val="none" w:sz="0" w:space="0" w:color="auto"/>
      </w:divBdr>
    </w:div>
    <w:div w:id="951744434">
      <w:bodyDiv w:val="1"/>
      <w:marLeft w:val="0"/>
      <w:marRight w:val="0"/>
      <w:marTop w:val="0"/>
      <w:marBottom w:val="0"/>
      <w:divBdr>
        <w:top w:val="none" w:sz="0" w:space="0" w:color="auto"/>
        <w:left w:val="none" w:sz="0" w:space="0" w:color="auto"/>
        <w:bottom w:val="none" w:sz="0" w:space="0" w:color="auto"/>
        <w:right w:val="none" w:sz="0" w:space="0" w:color="auto"/>
      </w:divBdr>
    </w:div>
    <w:div w:id="1217661190">
      <w:bodyDiv w:val="1"/>
      <w:marLeft w:val="0"/>
      <w:marRight w:val="0"/>
      <w:marTop w:val="0"/>
      <w:marBottom w:val="0"/>
      <w:divBdr>
        <w:top w:val="none" w:sz="0" w:space="0" w:color="auto"/>
        <w:left w:val="none" w:sz="0" w:space="0" w:color="auto"/>
        <w:bottom w:val="none" w:sz="0" w:space="0" w:color="auto"/>
        <w:right w:val="none" w:sz="0" w:space="0" w:color="auto"/>
      </w:divBdr>
    </w:div>
    <w:div w:id="194028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EnviTE Inc</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Anne</cp:lastModifiedBy>
  <cp:revision>4</cp:revision>
  <dcterms:created xsi:type="dcterms:W3CDTF">2016-03-08T03:21:00Z</dcterms:created>
  <dcterms:modified xsi:type="dcterms:W3CDTF">2016-03-09T01:33:00Z</dcterms:modified>
</cp:coreProperties>
</file>